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28242504"/>
    <w:p w:rsidR="0072252D" w:rsidRPr="00A22B0A" w:rsidRDefault="00A22B0A" w:rsidP="00A22B0A">
      <w:pPr>
        <w:pStyle w:val="Heading1"/>
      </w:pPr>
      <w:r w:rsidRPr="00A22B0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E41A" wp14:editId="4540A425">
                <wp:simplePos x="0" y="0"/>
                <wp:positionH relativeFrom="column">
                  <wp:posOffset>5429250</wp:posOffset>
                </wp:positionH>
                <wp:positionV relativeFrom="paragraph">
                  <wp:posOffset>-171450</wp:posOffset>
                </wp:positionV>
                <wp:extent cx="1492301" cy="800100"/>
                <wp:effectExtent l="0" t="0" r="12700" b="1905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1" cy="800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F3497" w:rsidRPr="00A22B0A" w:rsidRDefault="005F3497" w:rsidP="00A22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A22B0A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Impact Score</w:t>
                            </w:r>
                          </w:p>
                          <w:p w:rsidR="005F3497" w:rsidRDefault="005F3497" w:rsidP="00A22B0A">
                            <w:pPr>
                              <w:pStyle w:val="NormalWeb"/>
                              <w:tabs>
                                <w:tab w:val="center" w:pos="990"/>
                                <w:tab w:val="right" w:pos="1980"/>
                              </w:tabs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18</w:t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>
                              <w:rPr>
                                <w:rFonts w:asciiTheme="minorHAns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427.5pt;margin-top:-13.5pt;width:117.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" filled="f" strokecolor="black [3213]" strokeweight="1pt">
                <v:textbox>
                  <w:txbxContent>
                    <w:p w:rsidR="005F3497" w:rsidRPr="00A22B0A" w:rsidRDefault="005F3497" w:rsidP="00A22B0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A22B0A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Impact Score</w:t>
                      </w:r>
                    </w:p>
                    <w:p w:rsidR="005F3497" w:rsidRDefault="005F3497" w:rsidP="00A22B0A">
                      <w:pPr>
                        <w:pStyle w:val="NormalWeb"/>
                        <w:tabs>
                          <w:tab w:val="center" w:pos="990"/>
                          <w:tab w:val="right" w:pos="1980"/>
                        </w:tabs>
                        <w:spacing w:before="0" w:beforeAutospacing="0" w:after="0" w:afterAutospacing="0"/>
                      </w:pP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18</w:t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</w:rPr>
                        <w:tab/>
                      </w:r>
                      <w:r>
                        <w:rPr>
                          <w:rFonts w:asciiTheme="minorHAns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6A0">
        <w:rPr>
          <w:noProof/>
        </w:rPr>
        <w:t>Crime</w:t>
      </w:r>
      <w:bookmarkEnd w:id="0"/>
    </w:p>
    <w:p w:rsidR="00654B69" w:rsidRDefault="00F636A0" w:rsidP="008E5D73">
      <w:r w:rsidRPr="00F636A0">
        <w:t>Violent crimes consist of murder, rape, robbery, assault, property crime, burglary, larceny, and motor theft. Crimes often influence the safety and wellbeing of a community.</w:t>
      </w:r>
    </w:p>
    <w:p w:rsidR="00C041A9" w:rsidRDefault="00C041A9" w:rsidP="008E5D73"/>
    <w:tbl>
      <w:tblPr>
        <w:tblStyle w:val="TableGrid"/>
        <w:tblW w:w="10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7200"/>
      </w:tblGrid>
      <w:tr w:rsidR="00145CA0" w:rsidTr="00C23940">
        <w:trPr>
          <w:trHeight w:val="20"/>
          <w:jc w:val="center"/>
        </w:trPr>
        <w:tc>
          <w:tcPr>
            <w:tcW w:w="3600" w:type="dxa"/>
          </w:tcPr>
          <w:p w:rsidR="00145CA0" w:rsidRPr="00A91999" w:rsidRDefault="00145CA0" w:rsidP="008E5D73">
            <w:pPr>
              <w:pStyle w:val="Heading2"/>
              <w:outlineLvl w:val="1"/>
            </w:pPr>
            <w:r w:rsidRPr="00A91999">
              <w:t>Health Impacts</w:t>
            </w:r>
          </w:p>
          <w:p w:rsidR="00145CA0" w:rsidRPr="005F7A46" w:rsidRDefault="00145CA0" w:rsidP="008E5D73">
            <w:pPr>
              <w:pStyle w:val="MainText"/>
            </w:pPr>
            <w:r>
              <w:t>Increased risk of</w:t>
            </w:r>
            <w:r w:rsidRPr="005F7A46">
              <w:t>:</w:t>
            </w:r>
          </w:p>
          <w:p w:rsidR="00145CA0" w:rsidRDefault="00145CA0" w:rsidP="008E5D73">
            <w:pPr>
              <w:pStyle w:val="MainTextbullets"/>
            </w:pPr>
            <w:r>
              <w:t>Injury</w:t>
            </w:r>
          </w:p>
          <w:p w:rsidR="00145CA0" w:rsidRDefault="00145CA0" w:rsidP="008E5D73">
            <w:pPr>
              <w:pStyle w:val="MainTextbullets"/>
            </w:pPr>
            <w:r>
              <w:t>Depression</w:t>
            </w:r>
          </w:p>
          <w:p w:rsidR="00145CA0" w:rsidRDefault="00145CA0" w:rsidP="008E5D73">
            <w:pPr>
              <w:pStyle w:val="MainTextbullets"/>
            </w:pPr>
            <w:proofErr w:type="spellStart"/>
            <w:r>
              <w:t>Post traumatic</w:t>
            </w:r>
            <w:proofErr w:type="spellEnd"/>
            <w:r>
              <w:t xml:space="preserve"> stress disorder (PTSD)</w:t>
            </w:r>
          </w:p>
          <w:p w:rsidR="00145CA0" w:rsidRDefault="00145CA0" w:rsidP="008E5D73">
            <w:pPr>
              <w:pStyle w:val="MainTextbullets"/>
            </w:pPr>
            <w:r>
              <w:t>Death</w:t>
            </w:r>
          </w:p>
          <w:p w:rsidR="00145CA0" w:rsidRDefault="00145CA0" w:rsidP="008E5D73">
            <w:pPr>
              <w:pStyle w:val="MainTextbullets"/>
            </w:pPr>
            <w:r>
              <w:t>Negative perceptions of neighborhood safety</w:t>
            </w:r>
          </w:p>
          <w:p w:rsidR="00145CA0" w:rsidRDefault="00145CA0" w:rsidP="00145CA0">
            <w:pPr>
              <w:pStyle w:val="Source"/>
            </w:pPr>
            <w:r w:rsidRPr="00F636A0">
              <w:t>Source: WHO World Report on Violence and Health 2002</w:t>
            </w:r>
          </w:p>
          <w:p w:rsidR="001014EA" w:rsidRDefault="001014EA" w:rsidP="00145CA0">
            <w:pPr>
              <w:pStyle w:val="Source"/>
            </w:pPr>
          </w:p>
        </w:tc>
        <w:tc>
          <w:tcPr>
            <w:tcW w:w="7200" w:type="dxa"/>
            <w:vMerge w:val="restart"/>
          </w:tcPr>
          <w:p w:rsidR="00145CA0" w:rsidRDefault="00145CA0" w:rsidP="00145CA0">
            <w:pPr>
              <w:pStyle w:val="Heading2"/>
              <w:outlineLvl w:val="1"/>
            </w:pPr>
            <w:r>
              <w:t>Comparison</w:t>
            </w:r>
          </w:p>
          <w:p w:rsidR="00145CA0" w:rsidRPr="00061754" w:rsidRDefault="00145CA0" w:rsidP="00145CA0">
            <w:pPr>
              <w:pStyle w:val="Caption"/>
            </w:pPr>
            <w:r>
              <w:t>Violent Crime, Marion Co. vs. other locations, 2016</w:t>
            </w:r>
          </w:p>
          <w:p w:rsidR="00145CA0" w:rsidRPr="0054006C" w:rsidRDefault="00553C54" w:rsidP="00145CA0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>
                  <wp:extent cx="4206249" cy="2560325"/>
                  <wp:effectExtent l="0" t="0" r="3810" b="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3774 comparison for fact sheet CRIM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9" cy="25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5CA0" w:rsidRDefault="00145CA0" w:rsidP="00145CA0">
            <w:pPr>
              <w:pStyle w:val="Source"/>
            </w:pPr>
            <w:r w:rsidRPr="00E87484">
              <w:t xml:space="preserve">Source: </w:t>
            </w:r>
            <w:r>
              <w:t>FBI NIBRS</w:t>
            </w:r>
          </w:p>
          <w:p w:rsidR="001014EA" w:rsidRDefault="001014EA" w:rsidP="00145CA0">
            <w:pPr>
              <w:pStyle w:val="Source"/>
            </w:pPr>
          </w:p>
        </w:tc>
      </w:tr>
      <w:tr w:rsidR="00145CA0" w:rsidTr="00C23940">
        <w:trPr>
          <w:trHeight w:val="313"/>
          <w:jc w:val="center"/>
        </w:trPr>
        <w:tc>
          <w:tcPr>
            <w:tcW w:w="3600" w:type="dxa"/>
            <w:vMerge w:val="restart"/>
          </w:tcPr>
          <w:p w:rsidR="00145CA0" w:rsidRPr="00E87484" w:rsidRDefault="00145CA0" w:rsidP="00145CA0">
            <w:pPr>
              <w:pStyle w:val="Heading2"/>
              <w:outlineLvl w:val="1"/>
            </w:pPr>
            <w:r>
              <w:t>Treatment</w:t>
            </w:r>
          </w:p>
          <w:p w:rsidR="00145CA0" w:rsidRDefault="00145CA0" w:rsidP="00145CA0">
            <w:pPr>
              <w:pStyle w:val="MainTextbullets"/>
            </w:pPr>
            <w:r>
              <w:t>Community building</w:t>
            </w:r>
          </w:p>
          <w:p w:rsidR="00145CA0" w:rsidRDefault="00145CA0" w:rsidP="00145CA0">
            <w:pPr>
              <w:pStyle w:val="MainTextbullets"/>
            </w:pPr>
            <w:r>
              <w:t>Enhancing community resources</w:t>
            </w:r>
          </w:p>
          <w:p w:rsidR="00145CA0" w:rsidRDefault="00145CA0" w:rsidP="00145CA0">
            <w:pPr>
              <w:pStyle w:val="MainTextbullets"/>
            </w:pPr>
            <w:r>
              <w:t xml:space="preserve">Improve community infrastructure </w:t>
            </w:r>
          </w:p>
          <w:p w:rsidR="00145CA0" w:rsidRDefault="00145CA0" w:rsidP="00145CA0">
            <w:pPr>
              <w:pStyle w:val="MainTextbullets"/>
            </w:pPr>
            <w:r>
              <w:t>Reduce social stressors (e.g. poverty)</w:t>
            </w:r>
          </w:p>
          <w:p w:rsidR="0075103E" w:rsidRPr="00A91999" w:rsidRDefault="00145CA0" w:rsidP="00145CA0">
            <w:pPr>
              <w:pStyle w:val="Source"/>
            </w:pPr>
            <w:r>
              <w:t>Source: WHO World Report on Violence and Health 2002</w:t>
            </w:r>
          </w:p>
        </w:tc>
        <w:tc>
          <w:tcPr>
            <w:tcW w:w="7200" w:type="dxa"/>
            <w:vMerge/>
          </w:tcPr>
          <w:p w:rsidR="00145CA0" w:rsidRDefault="00145CA0" w:rsidP="00145CA0">
            <w:pPr>
              <w:pStyle w:val="Heading2"/>
              <w:outlineLvl w:val="1"/>
            </w:pPr>
          </w:p>
        </w:tc>
      </w:tr>
      <w:tr w:rsidR="00145CA0" w:rsidTr="00C23940">
        <w:trPr>
          <w:trHeight w:val="20"/>
          <w:jc w:val="center"/>
        </w:trPr>
        <w:tc>
          <w:tcPr>
            <w:tcW w:w="3600" w:type="dxa"/>
            <w:vMerge/>
          </w:tcPr>
          <w:p w:rsidR="00145CA0" w:rsidRPr="00A91999" w:rsidRDefault="00145CA0" w:rsidP="00145CA0">
            <w:pPr>
              <w:pStyle w:val="Heading2"/>
              <w:outlineLvl w:val="1"/>
            </w:pPr>
          </w:p>
        </w:tc>
        <w:tc>
          <w:tcPr>
            <w:tcW w:w="7200" w:type="dxa"/>
          </w:tcPr>
          <w:p w:rsidR="00145CA0" w:rsidRDefault="00145CA0" w:rsidP="00145CA0">
            <w:pPr>
              <w:pStyle w:val="Heading2"/>
              <w:outlineLvl w:val="1"/>
            </w:pPr>
            <w:r>
              <w:t>Trend</w:t>
            </w:r>
          </w:p>
          <w:p w:rsidR="00145CA0" w:rsidRDefault="00145CA0" w:rsidP="00145CA0">
            <w:pPr>
              <w:pStyle w:val="Caption"/>
            </w:pPr>
            <w:r>
              <w:t>Marion Co. Violent Crimes, 2012-201</w:t>
            </w:r>
            <w:r w:rsidR="0075103E">
              <w:t>6</w:t>
            </w:r>
          </w:p>
          <w:p w:rsidR="00145CA0" w:rsidRPr="0054006C" w:rsidRDefault="00553C54" w:rsidP="00145CA0">
            <w:pPr>
              <w:pStyle w:val="Graph"/>
              <w:rPr>
                <w:rStyle w:val="GraphChar"/>
              </w:rPr>
            </w:pPr>
            <w:r>
              <w:rPr>
                <w:noProof/>
              </w:rPr>
              <w:drawing>
                <wp:inline distT="0" distB="0" distL="0" distR="0">
                  <wp:extent cx="4206249" cy="2560325"/>
                  <wp:effectExtent l="0" t="0" r="3810" b="0"/>
                  <wp:docPr id="1048" name="Picture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3774 trend for fact sheet CRIM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9" cy="256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103E" w:rsidRDefault="00145CA0" w:rsidP="00145CA0">
            <w:pPr>
              <w:pStyle w:val="Source"/>
            </w:pPr>
            <w:r w:rsidRPr="00E87484">
              <w:t>Source:</w:t>
            </w:r>
            <w:r w:rsidRPr="00F636A0">
              <w:t xml:space="preserve"> </w:t>
            </w:r>
            <w:r>
              <w:t>FBI NIBRS</w:t>
            </w:r>
          </w:p>
          <w:p w:rsidR="001014EA" w:rsidRDefault="001014EA" w:rsidP="00145CA0">
            <w:pPr>
              <w:pStyle w:val="Source"/>
            </w:pPr>
          </w:p>
        </w:tc>
      </w:tr>
    </w:tbl>
    <w:p w:rsidR="002B4EC7" w:rsidRDefault="007B1BF9" w:rsidP="00E87484">
      <w:r>
        <w:t>DR3774</w:t>
      </w:r>
    </w:p>
    <w:tbl>
      <w:tblPr>
        <w:tblStyle w:val="TableGrid"/>
        <w:tblW w:w="10803" w:type="dxa"/>
        <w:jc w:val="center"/>
        <w:tblLook w:val="04A0" w:firstRow="1" w:lastRow="0" w:firstColumn="1" w:lastColumn="0" w:noHBand="0" w:noVBand="1"/>
      </w:tblPr>
      <w:tblGrid>
        <w:gridCol w:w="2801"/>
        <w:gridCol w:w="992"/>
        <w:gridCol w:w="2746"/>
        <w:gridCol w:w="4264"/>
      </w:tblGrid>
      <w:tr w:rsidR="002B4EC7" w:rsidTr="007E35F8">
        <w:trPr>
          <w:trHeight w:val="20"/>
          <w:jc w:val="center"/>
        </w:trPr>
        <w:tc>
          <w:tcPr>
            <w:tcW w:w="1080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EC7" w:rsidRDefault="002B4EC7" w:rsidP="002B4EC7">
            <w:pPr>
              <w:pStyle w:val="Heading2"/>
              <w:outlineLvl w:val="1"/>
            </w:pPr>
            <w:r>
              <w:lastRenderedPageBreak/>
              <w:t>Risk Factors</w:t>
            </w:r>
          </w:p>
          <w:p w:rsidR="002B4EC7" w:rsidRDefault="002B4EC7" w:rsidP="00E87484"/>
        </w:tc>
      </w:tr>
      <w:tr w:rsidR="002B4EC7" w:rsidTr="0021396B">
        <w:trPr>
          <w:trHeight w:val="20"/>
          <w:jc w:val="center"/>
        </w:trPr>
        <w:tc>
          <w:tcPr>
            <w:tcW w:w="3793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B4EC7" w:rsidRDefault="002B4EC7" w:rsidP="002B4EC7">
            <w:pPr>
              <w:pStyle w:val="Heading3"/>
              <w:outlineLvl w:val="2"/>
            </w:pPr>
            <w:r>
              <w:t xml:space="preserve">Personal Risk factors </w:t>
            </w:r>
          </w:p>
          <w:p w:rsidR="002B4EC7" w:rsidRDefault="002B4EC7" w:rsidP="002B4EC7">
            <w:pPr>
              <w:pStyle w:val="MainTextbullets"/>
            </w:pPr>
            <w:r>
              <w:t>Past violent behaviors</w:t>
            </w:r>
          </w:p>
          <w:p w:rsidR="002B4EC7" w:rsidRDefault="002B4EC7" w:rsidP="002B4EC7">
            <w:pPr>
              <w:pStyle w:val="MainTextbullets"/>
            </w:pPr>
            <w:r>
              <w:t>Use and abuse of alcohol or drugs</w:t>
            </w:r>
          </w:p>
          <w:p w:rsidR="002B4EC7" w:rsidRDefault="002B4EC7" w:rsidP="002B4EC7">
            <w:pPr>
              <w:pStyle w:val="MainTextbullets"/>
            </w:pPr>
            <w:r>
              <w:t xml:space="preserve">Bullying </w:t>
            </w:r>
          </w:p>
          <w:p w:rsidR="002B4EC7" w:rsidRDefault="002B4EC7" w:rsidP="003374CE">
            <w:pPr>
              <w:pStyle w:val="Source"/>
            </w:pPr>
            <w:r>
              <w:t>Source: New York State Office of Mental Health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2B4EC7" w:rsidRDefault="002B4EC7" w:rsidP="002B4EC7">
            <w:pPr>
              <w:pStyle w:val="Heading3"/>
              <w:outlineLvl w:val="2"/>
            </w:pPr>
            <w:r>
              <w:t xml:space="preserve">Environmental and Community Risk Factors </w:t>
            </w:r>
          </w:p>
          <w:p w:rsidR="002B4EC7" w:rsidRDefault="002B4EC7" w:rsidP="002B4EC7">
            <w:pPr>
              <w:pStyle w:val="MainTextbullets"/>
            </w:pPr>
            <w:r>
              <w:t>Economic disadvantage</w:t>
            </w:r>
          </w:p>
          <w:p w:rsidR="002B4EC7" w:rsidRDefault="002B4EC7" w:rsidP="002B4EC7">
            <w:pPr>
              <w:pStyle w:val="MainTextbullets"/>
            </w:pPr>
            <w:r>
              <w:t>Community disorganization</w:t>
            </w:r>
          </w:p>
          <w:p w:rsidR="002B4EC7" w:rsidRDefault="002B4EC7" w:rsidP="002B4EC7">
            <w:pPr>
              <w:pStyle w:val="MainTextbullets"/>
            </w:pPr>
            <w:r>
              <w:t>Access to guns or other weapons</w:t>
            </w:r>
          </w:p>
          <w:p w:rsidR="002B4EC7" w:rsidRDefault="002B4EC7" w:rsidP="003374CE">
            <w:pPr>
              <w:pStyle w:val="Source"/>
            </w:pPr>
            <w:r>
              <w:t>Source: New York State Office of Mental Health</w:t>
            </w:r>
          </w:p>
        </w:tc>
      </w:tr>
      <w:tr w:rsidR="002B4EC7" w:rsidTr="007E35F8">
        <w:trPr>
          <w:trHeight w:val="20"/>
          <w:jc w:val="center"/>
        </w:trPr>
        <w:tc>
          <w:tcPr>
            <w:tcW w:w="1080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2B4EC7" w:rsidRDefault="002B4EC7" w:rsidP="007E35F8">
            <w:pPr>
              <w:pStyle w:val="Heading2"/>
              <w:outlineLvl w:val="1"/>
            </w:pPr>
            <w:r w:rsidRPr="00C52F9D">
              <w:t>Equity</w:t>
            </w:r>
          </w:p>
        </w:tc>
      </w:tr>
      <w:tr w:rsidR="002B4EC7" w:rsidTr="00BB3168">
        <w:trPr>
          <w:trHeight w:val="20"/>
          <w:jc w:val="center"/>
        </w:trPr>
        <w:tc>
          <w:tcPr>
            <w:tcW w:w="280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B4EC7" w:rsidRDefault="002B4EC7" w:rsidP="002B4EC7">
            <w:pPr>
              <w:pStyle w:val="Heading3"/>
              <w:outlineLvl w:val="2"/>
            </w:pPr>
            <w:r>
              <w:t>Perceptions of Safety by Race</w:t>
            </w:r>
          </w:p>
          <w:p w:rsidR="002B4EC7" w:rsidRPr="002B4EC7" w:rsidRDefault="0087119A" w:rsidP="0021190B">
            <w:pPr>
              <w:pStyle w:val="MainText"/>
            </w:pPr>
            <w:r>
              <w:t xml:space="preserve">Blacks may be slightly more likely than Whites </w:t>
            </w:r>
            <w:r w:rsidR="0021190B">
              <w:t xml:space="preserve">and Latinos </w:t>
            </w:r>
            <w:r>
              <w:t>to co</w:t>
            </w:r>
            <w:r w:rsidR="0021190B">
              <w:t xml:space="preserve">nsider their neighborhood </w:t>
            </w:r>
            <w:r>
              <w:t xml:space="preserve">unsafe. </w:t>
            </w: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B4EC7" w:rsidRDefault="0021396B" w:rsidP="002B4EC7">
            <w:pPr>
              <w:pStyle w:val="Caption"/>
            </w:pPr>
            <w:r>
              <w:t>Uncertain</w:t>
            </w:r>
            <w:r w:rsidR="002B4EC7">
              <w:t xml:space="preserve"> Neighborhood </w:t>
            </w:r>
            <w:r w:rsidRPr="0021396B">
              <w:t>Safe</w:t>
            </w:r>
            <w:r>
              <w:t xml:space="preserve">ty </w:t>
            </w:r>
            <w:r w:rsidR="002B4EC7" w:rsidRPr="007A0AF2">
              <w:t xml:space="preserve">by </w:t>
            </w:r>
            <w:r w:rsidR="002B4EC7">
              <w:t>Race, Marion Co. 2018</w:t>
            </w:r>
          </w:p>
          <w:p w:rsidR="002B4EC7" w:rsidRDefault="00BB3168" w:rsidP="002B4EC7">
            <w:pPr>
              <w:pStyle w:val="Graph"/>
            </w:pPr>
            <w:r>
              <w:rPr>
                <w:noProof/>
              </w:rPr>
              <w:drawing>
                <wp:inline distT="0" distB="0" distL="0" distR="0" wp14:anchorId="7DEF51DF" wp14:editId="6124CA33">
                  <wp:extent cx="4848225" cy="2200275"/>
                  <wp:effectExtent l="0" t="0" r="0" b="0"/>
                  <wp:docPr id="2082" name="Chart 208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2B4EC7" w:rsidRPr="00C52F9D" w:rsidRDefault="002B4EC7" w:rsidP="002B4EC7">
            <w:pPr>
              <w:pStyle w:val="Source"/>
            </w:pPr>
            <w:r w:rsidRPr="007A0AF2">
              <w:t xml:space="preserve">Source: </w:t>
            </w:r>
            <w:r>
              <w:t>2018 Marion County Community Health Assessment Survey</w:t>
            </w:r>
          </w:p>
        </w:tc>
      </w:tr>
      <w:tr w:rsidR="002B4EC7" w:rsidTr="00BB3168">
        <w:trPr>
          <w:trHeight w:val="20"/>
          <w:jc w:val="center"/>
        </w:trPr>
        <w:tc>
          <w:tcPr>
            <w:tcW w:w="653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2B4EC7" w:rsidRDefault="0021396B" w:rsidP="002B4EC7">
            <w:pPr>
              <w:pStyle w:val="Caption"/>
            </w:pPr>
            <w:r>
              <w:t xml:space="preserve">Uncertain Neighborhood </w:t>
            </w:r>
            <w:r w:rsidRPr="0021396B">
              <w:t>Safe</w:t>
            </w:r>
            <w:r>
              <w:t xml:space="preserve">ty </w:t>
            </w:r>
            <w:r w:rsidR="002B4EC7" w:rsidRPr="007A0AF2">
              <w:t xml:space="preserve">by </w:t>
            </w:r>
            <w:r w:rsidR="002B4EC7">
              <w:t>Gender, Marion Co. 2018</w:t>
            </w:r>
          </w:p>
          <w:p w:rsidR="002B4EC7" w:rsidRDefault="00BB3168" w:rsidP="003374CE">
            <w:pPr>
              <w:pStyle w:val="Graph"/>
              <w:jc w:val="center"/>
            </w:pPr>
            <w:r>
              <w:rPr>
                <w:noProof/>
              </w:rPr>
              <w:drawing>
                <wp:inline distT="0" distB="0" distL="0" distR="0" wp14:anchorId="5B31D941" wp14:editId="1DB331AF">
                  <wp:extent cx="3981450" cy="2114550"/>
                  <wp:effectExtent l="0" t="0" r="19050" b="19050"/>
                  <wp:docPr id="2081" name="Chart 208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2B4EC7" w:rsidRPr="00C52F9D" w:rsidRDefault="002B4EC7" w:rsidP="002B4EC7">
            <w:pPr>
              <w:pStyle w:val="Source"/>
            </w:pPr>
            <w:r w:rsidRPr="007A0AF2">
              <w:t xml:space="preserve">Source: </w:t>
            </w:r>
            <w:r>
              <w:t>2018 Marion County Community Health Assessment Survey</w:t>
            </w:r>
          </w:p>
        </w:tc>
        <w:tc>
          <w:tcPr>
            <w:tcW w:w="426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B4EC7" w:rsidRDefault="002B4EC7" w:rsidP="002B4EC7">
            <w:pPr>
              <w:pStyle w:val="Heading3"/>
              <w:outlineLvl w:val="2"/>
            </w:pPr>
            <w:r>
              <w:t xml:space="preserve">Perceptions </w:t>
            </w:r>
            <w:r w:rsidRPr="00535CB8">
              <w:t>of</w:t>
            </w:r>
            <w:r>
              <w:t xml:space="preserve"> Safety by Gender</w:t>
            </w:r>
          </w:p>
          <w:p w:rsidR="002B4EC7" w:rsidRPr="00C52F9D" w:rsidRDefault="0087119A" w:rsidP="0021190B">
            <w:pPr>
              <w:pStyle w:val="MainText"/>
            </w:pPr>
            <w:r>
              <w:t>Women may be slightly more likely than men to consider their neighborhood unsafe.</w:t>
            </w:r>
          </w:p>
        </w:tc>
        <w:bookmarkStart w:id="1" w:name="_GoBack"/>
        <w:bookmarkEnd w:id="1"/>
      </w:tr>
    </w:tbl>
    <w:p w:rsidR="00A95D2C" w:rsidRDefault="00A95D2C" w:rsidP="00A95D2C">
      <w:r>
        <w:t>7</w:t>
      </w:r>
    </w:p>
    <w:sectPr w:rsidR="00A95D2C" w:rsidSect="007E35D0">
      <w:headerReference w:type="default" r:id="rId13"/>
      <w:footerReference w:type="default" r:id="rId14"/>
      <w:footerReference w:type="firs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97" w:rsidRDefault="005F3497">
      <w:r>
        <w:separator/>
      </w:r>
    </w:p>
  </w:endnote>
  <w:endnote w:type="continuationSeparator" w:id="0">
    <w:p w:rsidR="005F3497" w:rsidRDefault="005F3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7" w:rsidRPr="00DF2C10" w:rsidRDefault="005F3497" w:rsidP="007E35D0">
    <w:pPr>
      <w:pStyle w:val="Footer"/>
      <w:tabs>
        <w:tab w:val="clear" w:pos="4680"/>
        <w:tab w:val="clear" w:pos="9360"/>
        <w:tab w:val="right" w:pos="14400"/>
      </w:tabs>
    </w:pPr>
    <w:r>
      <w:t>Marion County Public Health Dept.</w:t>
    </w:r>
    <w:r w:rsidRPr="00BD3924">
      <w:t xml:space="preserve"> Epidemiology</w:t>
    </w:r>
    <w:r>
      <w:t xml:space="preserve">, DR3749, 21OCT2018 </w:t>
    </w:r>
    <w:hyperlink r:id="rId1" w:history="1">
      <w:r w:rsidRPr="004E79B2">
        <w:rPr>
          <w:rStyle w:val="Hyperlink"/>
        </w:rPr>
        <w:t>Epidemiology@MarionHealth.org</w:t>
      </w:r>
    </w:hyperlink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7" w:rsidRDefault="005F3497">
    <w:pPr>
      <w:pStyle w:val="Footer"/>
    </w:pPr>
    <w:r>
      <w:t>Marion County Public Health Dept.</w:t>
    </w:r>
    <w:r w:rsidRPr="00BD3924">
      <w:t xml:space="preserve"> Epidemiology</w:t>
    </w:r>
    <w:r>
      <w:t>, DR3774, 21OCT2018 Epidemiology@MarionHealth.org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97" w:rsidRDefault="005F3497">
      <w:r>
        <w:separator/>
      </w:r>
    </w:p>
  </w:footnote>
  <w:footnote w:type="continuationSeparator" w:id="0">
    <w:p w:rsidR="005F3497" w:rsidRDefault="005F3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97" w:rsidRDefault="005F3497">
    <w:pPr>
      <w:pStyle w:val="Header"/>
      <w:jc w:val="center"/>
    </w:pP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01B1"/>
    <w:multiLevelType w:val="hybridMultilevel"/>
    <w:tmpl w:val="FFBA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B41EF"/>
    <w:multiLevelType w:val="hybridMultilevel"/>
    <w:tmpl w:val="08305DE2"/>
    <w:lvl w:ilvl="0" w:tplc="285E2A22">
      <w:start w:val="1"/>
      <w:numFmt w:val="bullet"/>
      <w:pStyle w:val="MainTextbullets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ECCA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60C01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41432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E4C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C258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F66C5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C9E80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D6C5A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A3D046D"/>
    <w:multiLevelType w:val="hybridMultilevel"/>
    <w:tmpl w:val="1638C712"/>
    <w:lvl w:ilvl="0" w:tplc="96884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ECDB0">
      <w:start w:val="3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A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EC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64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D6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C6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4B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5A64EE"/>
    <w:multiLevelType w:val="hybridMultilevel"/>
    <w:tmpl w:val="7682D7A0"/>
    <w:lvl w:ilvl="0" w:tplc="BB86A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50C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4D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2D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22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4C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2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F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0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791F82"/>
    <w:multiLevelType w:val="hybridMultilevel"/>
    <w:tmpl w:val="08F4D406"/>
    <w:lvl w:ilvl="0" w:tplc="62CA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6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0E2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A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EB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12F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E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4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41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6246584"/>
    <w:multiLevelType w:val="hybridMultilevel"/>
    <w:tmpl w:val="A0A6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A7E48"/>
    <w:multiLevelType w:val="hybridMultilevel"/>
    <w:tmpl w:val="CDB8C21E"/>
    <w:lvl w:ilvl="0" w:tplc="7658A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702C">
      <w:start w:val="9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AF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46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3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4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AA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8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6D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A64CD6"/>
    <w:multiLevelType w:val="hybridMultilevel"/>
    <w:tmpl w:val="E06064AE"/>
    <w:lvl w:ilvl="0" w:tplc="C5C013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F25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CFA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40D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D063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C48FA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9A76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D3479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74D3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9CC061E-CE00-47D9-898D-D20F1C7A70D4}"/>
    <w:docVar w:name="dgnword-eventsink" w:val="186968072"/>
  </w:docVars>
  <w:rsids>
    <w:rsidRoot w:val="00A22B0A"/>
    <w:rsid w:val="00000341"/>
    <w:rsid w:val="000027F1"/>
    <w:rsid w:val="000116A1"/>
    <w:rsid w:val="00021C56"/>
    <w:rsid w:val="000412F4"/>
    <w:rsid w:val="00061754"/>
    <w:rsid w:val="0007467F"/>
    <w:rsid w:val="000A1277"/>
    <w:rsid w:val="000B2C31"/>
    <w:rsid w:val="000C1C2C"/>
    <w:rsid w:val="000D164C"/>
    <w:rsid w:val="000D22B8"/>
    <w:rsid w:val="000D29F9"/>
    <w:rsid w:val="001014EA"/>
    <w:rsid w:val="00105FD9"/>
    <w:rsid w:val="00140403"/>
    <w:rsid w:val="00145CA0"/>
    <w:rsid w:val="00164A8B"/>
    <w:rsid w:val="00165C49"/>
    <w:rsid w:val="001756A7"/>
    <w:rsid w:val="001B2EA4"/>
    <w:rsid w:val="001B55F0"/>
    <w:rsid w:val="00201665"/>
    <w:rsid w:val="00203DD1"/>
    <w:rsid w:val="0021190B"/>
    <w:rsid w:val="0021396B"/>
    <w:rsid w:val="00251271"/>
    <w:rsid w:val="0025241D"/>
    <w:rsid w:val="00273034"/>
    <w:rsid w:val="002B4EC7"/>
    <w:rsid w:val="002E57DC"/>
    <w:rsid w:val="00312143"/>
    <w:rsid w:val="00333015"/>
    <w:rsid w:val="003374CE"/>
    <w:rsid w:val="00351621"/>
    <w:rsid w:val="00385406"/>
    <w:rsid w:val="003B1668"/>
    <w:rsid w:val="003C3C7A"/>
    <w:rsid w:val="003D2829"/>
    <w:rsid w:val="003D6A90"/>
    <w:rsid w:val="003F68ED"/>
    <w:rsid w:val="004019CD"/>
    <w:rsid w:val="00410AE8"/>
    <w:rsid w:val="00411F51"/>
    <w:rsid w:val="004144CF"/>
    <w:rsid w:val="00430B8C"/>
    <w:rsid w:val="00470405"/>
    <w:rsid w:val="004751F4"/>
    <w:rsid w:val="004869FA"/>
    <w:rsid w:val="0049262D"/>
    <w:rsid w:val="004A51A5"/>
    <w:rsid w:val="004A69E6"/>
    <w:rsid w:val="004E2CD0"/>
    <w:rsid w:val="004F4B10"/>
    <w:rsid w:val="004F7D84"/>
    <w:rsid w:val="00511D63"/>
    <w:rsid w:val="00535CB8"/>
    <w:rsid w:val="0054006C"/>
    <w:rsid w:val="00542F2A"/>
    <w:rsid w:val="005532E4"/>
    <w:rsid w:val="00553C54"/>
    <w:rsid w:val="00562694"/>
    <w:rsid w:val="005633CE"/>
    <w:rsid w:val="005655E5"/>
    <w:rsid w:val="0058331D"/>
    <w:rsid w:val="005B1652"/>
    <w:rsid w:val="005C4239"/>
    <w:rsid w:val="005D6D62"/>
    <w:rsid w:val="005E039D"/>
    <w:rsid w:val="005F0C69"/>
    <w:rsid w:val="005F2A5A"/>
    <w:rsid w:val="005F3497"/>
    <w:rsid w:val="005F7A46"/>
    <w:rsid w:val="00607E18"/>
    <w:rsid w:val="006147B0"/>
    <w:rsid w:val="00654B69"/>
    <w:rsid w:val="0066730F"/>
    <w:rsid w:val="00683503"/>
    <w:rsid w:val="00687431"/>
    <w:rsid w:val="006F1E40"/>
    <w:rsid w:val="006F6A79"/>
    <w:rsid w:val="0072252D"/>
    <w:rsid w:val="007504ED"/>
    <w:rsid w:val="0075103E"/>
    <w:rsid w:val="007528FC"/>
    <w:rsid w:val="00766D3C"/>
    <w:rsid w:val="00767595"/>
    <w:rsid w:val="0077492D"/>
    <w:rsid w:val="007A0AF2"/>
    <w:rsid w:val="007A48BB"/>
    <w:rsid w:val="007B1BF9"/>
    <w:rsid w:val="007E35D0"/>
    <w:rsid w:val="007E35F8"/>
    <w:rsid w:val="007E7AB5"/>
    <w:rsid w:val="00826917"/>
    <w:rsid w:val="00830783"/>
    <w:rsid w:val="008475C4"/>
    <w:rsid w:val="0085049A"/>
    <w:rsid w:val="008619A6"/>
    <w:rsid w:val="0087119A"/>
    <w:rsid w:val="008747F1"/>
    <w:rsid w:val="008A515D"/>
    <w:rsid w:val="008E5D73"/>
    <w:rsid w:val="008E637C"/>
    <w:rsid w:val="00923E5F"/>
    <w:rsid w:val="00936BB7"/>
    <w:rsid w:val="0095065C"/>
    <w:rsid w:val="00951F57"/>
    <w:rsid w:val="00953047"/>
    <w:rsid w:val="00956209"/>
    <w:rsid w:val="009738C9"/>
    <w:rsid w:val="009836DA"/>
    <w:rsid w:val="00990D1C"/>
    <w:rsid w:val="009A4223"/>
    <w:rsid w:val="009B6992"/>
    <w:rsid w:val="00A00A5C"/>
    <w:rsid w:val="00A00C1C"/>
    <w:rsid w:val="00A07178"/>
    <w:rsid w:val="00A22B0A"/>
    <w:rsid w:val="00A2487E"/>
    <w:rsid w:val="00A27EF5"/>
    <w:rsid w:val="00A3076A"/>
    <w:rsid w:val="00A506B0"/>
    <w:rsid w:val="00A51101"/>
    <w:rsid w:val="00A54DA1"/>
    <w:rsid w:val="00A6768A"/>
    <w:rsid w:val="00A760C4"/>
    <w:rsid w:val="00A76A2F"/>
    <w:rsid w:val="00A85FC3"/>
    <w:rsid w:val="00A90181"/>
    <w:rsid w:val="00A91999"/>
    <w:rsid w:val="00A95D2C"/>
    <w:rsid w:val="00AB606D"/>
    <w:rsid w:val="00AD1452"/>
    <w:rsid w:val="00AE241D"/>
    <w:rsid w:val="00AF1321"/>
    <w:rsid w:val="00B04EDB"/>
    <w:rsid w:val="00B30C43"/>
    <w:rsid w:val="00B40777"/>
    <w:rsid w:val="00B84E7B"/>
    <w:rsid w:val="00B938A4"/>
    <w:rsid w:val="00BB3168"/>
    <w:rsid w:val="00BC7589"/>
    <w:rsid w:val="00BD3924"/>
    <w:rsid w:val="00C041A9"/>
    <w:rsid w:val="00C23940"/>
    <w:rsid w:val="00C36FED"/>
    <w:rsid w:val="00C52F9D"/>
    <w:rsid w:val="00C7620C"/>
    <w:rsid w:val="00C92CFB"/>
    <w:rsid w:val="00CB24DA"/>
    <w:rsid w:val="00CE7ECA"/>
    <w:rsid w:val="00CF22E6"/>
    <w:rsid w:val="00D14016"/>
    <w:rsid w:val="00D51681"/>
    <w:rsid w:val="00D73BE3"/>
    <w:rsid w:val="00D85869"/>
    <w:rsid w:val="00D971EC"/>
    <w:rsid w:val="00DA128F"/>
    <w:rsid w:val="00DB4A50"/>
    <w:rsid w:val="00DE2134"/>
    <w:rsid w:val="00DF2C10"/>
    <w:rsid w:val="00E03FAE"/>
    <w:rsid w:val="00E240FC"/>
    <w:rsid w:val="00E34535"/>
    <w:rsid w:val="00E346AA"/>
    <w:rsid w:val="00E40E96"/>
    <w:rsid w:val="00E4665E"/>
    <w:rsid w:val="00E604D6"/>
    <w:rsid w:val="00E62804"/>
    <w:rsid w:val="00E67494"/>
    <w:rsid w:val="00E72599"/>
    <w:rsid w:val="00E87398"/>
    <w:rsid w:val="00E87484"/>
    <w:rsid w:val="00EB3472"/>
    <w:rsid w:val="00EE0047"/>
    <w:rsid w:val="00EE55E7"/>
    <w:rsid w:val="00EE6BEC"/>
    <w:rsid w:val="00EF6863"/>
    <w:rsid w:val="00F32757"/>
    <w:rsid w:val="00F35F28"/>
    <w:rsid w:val="00F41448"/>
    <w:rsid w:val="00F63387"/>
    <w:rsid w:val="00F635C2"/>
    <w:rsid w:val="00F636A0"/>
    <w:rsid w:val="00F64395"/>
    <w:rsid w:val="00F82DBF"/>
    <w:rsid w:val="00FB58FC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6D6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6D6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2A5A"/>
    <w:pPr>
      <w:pBdr>
        <w:bottom w:val="single" w:sz="8" w:space="4" w:color="512603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5A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48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D2C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D2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D2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4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2B0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4CE"/>
    <w:pPr>
      <w:keepNext/>
      <w:keepLines/>
      <w:spacing w:before="360" w:after="120"/>
      <w:jc w:val="center"/>
      <w:outlineLvl w:val="1"/>
    </w:pPr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4CE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25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25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8120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rsid w:val="000D22B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unhideWhenUsed/>
    <w:rsid w:val="009836DA"/>
    <w:pPr>
      <w:tabs>
        <w:tab w:val="center" w:pos="468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D22B8"/>
  </w:style>
  <w:style w:type="character" w:customStyle="1" w:styleId="Heading1Char">
    <w:name w:val="Heading 1 Char"/>
    <w:basedOn w:val="DefaultParagraphFont"/>
    <w:link w:val="Heading1"/>
    <w:uiPriority w:val="9"/>
    <w:rsid w:val="00A22B0A"/>
    <w:rPr>
      <w:rFonts w:asciiTheme="majorHAnsi" w:eastAsiaTheme="majorEastAsia" w:hAnsiTheme="majorHAnsi" w:cstheme="majorBidi"/>
      <w:b/>
      <w:bCs/>
      <w:color w:val="3C1C02" w:themeColor="accent1" w:themeShade="BF"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36"/>
      <w:szCs w:val="26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2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2B8"/>
    <w:rPr>
      <w:rFonts w:eastAsia="Batang" w:cstheme="minorBidi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D22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2B8"/>
    <w:rPr>
      <w:rFonts w:eastAsia="Batang" w:cstheme="minorBidi"/>
      <w:b/>
      <w:bCs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2B8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0D22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374CE"/>
    <w:rPr>
      <w:rFonts w:asciiTheme="majorHAnsi" w:eastAsiaTheme="majorEastAsia" w:hAnsiTheme="majorHAnsi" w:cstheme="majorBidi"/>
      <w:b/>
      <w:bCs/>
      <w:color w:val="512603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2252D"/>
    <w:rPr>
      <w:rFonts w:asciiTheme="majorHAnsi" w:eastAsiaTheme="majorEastAsia" w:hAnsiTheme="majorHAnsi" w:cstheme="majorBidi"/>
      <w:b/>
      <w:bCs/>
      <w:i/>
      <w:iCs/>
      <w:color w:val="512603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2252D"/>
    <w:rPr>
      <w:rFonts w:asciiTheme="majorHAnsi" w:eastAsiaTheme="majorEastAsia" w:hAnsiTheme="majorHAnsi" w:cstheme="majorBidi"/>
      <w:color w:val="281201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A22B0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03DD1"/>
    <w:pPr>
      <w:spacing w:before="240" w:after="120"/>
    </w:pPr>
    <w:rPr>
      <w:b/>
      <w:bCs/>
      <w:color w:val="512603" w:themeColor="accent1"/>
      <w:sz w:val="28"/>
      <w:szCs w:val="18"/>
    </w:rPr>
  </w:style>
  <w:style w:type="paragraph" w:customStyle="1" w:styleId="Source">
    <w:name w:val="Source"/>
    <w:basedOn w:val="Normal"/>
    <w:link w:val="SourceChar"/>
    <w:qFormat/>
    <w:rsid w:val="00A91999"/>
    <w:pPr>
      <w:spacing w:before="60"/>
    </w:pPr>
  </w:style>
  <w:style w:type="paragraph" w:customStyle="1" w:styleId="Graph">
    <w:name w:val="Graph"/>
    <w:basedOn w:val="Normal"/>
    <w:link w:val="GraphChar"/>
    <w:qFormat/>
    <w:rsid w:val="0054006C"/>
  </w:style>
  <w:style w:type="character" w:customStyle="1" w:styleId="SourceChar">
    <w:name w:val="Source Char"/>
    <w:basedOn w:val="DefaultParagraphFont"/>
    <w:link w:val="Source"/>
    <w:rsid w:val="00A91999"/>
  </w:style>
  <w:style w:type="character" w:customStyle="1" w:styleId="GraphChar">
    <w:name w:val="Graph Char"/>
    <w:basedOn w:val="DefaultParagraphFont"/>
    <w:link w:val="Graph"/>
    <w:rsid w:val="0054006C"/>
  </w:style>
  <w:style w:type="paragraph" w:customStyle="1" w:styleId="MainText">
    <w:name w:val="Main Text"/>
    <w:basedOn w:val="Normal"/>
    <w:link w:val="MainTextChar"/>
    <w:qFormat/>
    <w:rsid w:val="005F7A46"/>
    <w:pPr>
      <w:spacing w:before="240"/>
      <w:contextualSpacing/>
    </w:pPr>
    <w:rPr>
      <w:sz w:val="28"/>
    </w:rPr>
  </w:style>
  <w:style w:type="paragraph" w:customStyle="1" w:styleId="MainTextbullets">
    <w:name w:val="Main Text bullets"/>
    <w:basedOn w:val="MainText"/>
    <w:link w:val="MainTextbulletsChar"/>
    <w:qFormat/>
    <w:rsid w:val="005F7A46"/>
    <w:pPr>
      <w:numPr>
        <w:numId w:val="1"/>
      </w:numPr>
      <w:ind w:left="216" w:hanging="216"/>
    </w:pPr>
  </w:style>
  <w:style w:type="character" w:customStyle="1" w:styleId="MainTextbulletsChar">
    <w:name w:val="Main Text bullets Char"/>
    <w:basedOn w:val="DefaultParagraphFont"/>
    <w:link w:val="MainTextbullets"/>
    <w:rsid w:val="005F7A46"/>
    <w:rPr>
      <w:sz w:val="28"/>
    </w:rPr>
  </w:style>
  <w:style w:type="character" w:customStyle="1" w:styleId="MainTextChar">
    <w:name w:val="Main Text Char"/>
    <w:basedOn w:val="DefaultParagraphFont"/>
    <w:link w:val="MainText"/>
    <w:rsid w:val="005F7A46"/>
    <w:rPr>
      <w:sz w:val="28"/>
    </w:rPr>
  </w:style>
  <w:style w:type="table" w:styleId="TableGrid">
    <w:name w:val="Table Grid"/>
    <w:basedOn w:val="TableNormal"/>
    <w:uiPriority w:val="59"/>
    <w:rsid w:val="008E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6D6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D6D6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2A5A"/>
    <w:pPr>
      <w:pBdr>
        <w:bottom w:val="single" w:sz="8" w:space="4" w:color="512603" w:themeColor="accent1"/>
      </w:pBdr>
      <w:spacing w:after="300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A5A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48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D2C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D2C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D2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4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6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57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8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3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idemiology@MarionHealth.org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Disagree or Not Sure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numFmt formatCode="0%" sourceLinked="0"/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White non-Latino</c:v>
                </c:pt>
                <c:pt idx="1">
                  <c:v>Black non-Latino</c:v>
                </c:pt>
                <c:pt idx="2">
                  <c:v>Latino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0.1066</c:v>
                </c:pt>
                <c:pt idx="1">
                  <c:v>0.1193</c:v>
                </c:pt>
                <c:pt idx="2">
                  <c:v>0.10730000000000001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540928"/>
        <c:axId val="182547968"/>
      </c:barChart>
      <c:catAx>
        <c:axId val="182540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82547968"/>
        <c:crosses val="autoZero"/>
        <c:auto val="1"/>
        <c:lblAlgn val="ctr"/>
        <c:lblOffset val="100"/>
        <c:noMultiLvlLbl val="0"/>
      </c:catAx>
      <c:valAx>
        <c:axId val="182547968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100"/>
                </a:pPr>
                <a:r>
                  <a:rPr lang="en-US" sz="1100"/>
                  <a:t>% who disagree or are</a:t>
                </a:r>
                <a:r>
                  <a:rPr lang="en-US" sz="1100" baseline="0"/>
                  <a:t> not sure that neighborhood is safe</a:t>
                </a:r>
                <a:endParaRPr lang="en-US" sz="1100"/>
              </a:p>
            </c:rich>
          </c:tx>
          <c:layout/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825409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Disagree or Not Sure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numFmt formatCode="0%" sourceLinked="0"/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Sheet2!$B$2:$B$3</c:f>
              <c:numCache>
                <c:formatCode>0.0%</c:formatCode>
                <c:ptCount val="2"/>
                <c:pt idx="0">
                  <c:v>0.10829999999999999</c:v>
                </c:pt>
                <c:pt idx="1">
                  <c:v>0.1215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2559488"/>
        <c:axId val="182562176"/>
      </c:barChart>
      <c:catAx>
        <c:axId val="182559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82562176"/>
        <c:crosses val="autoZero"/>
        <c:auto val="1"/>
        <c:lblAlgn val="ctr"/>
        <c:lblOffset val="100"/>
        <c:noMultiLvlLbl val="0"/>
      </c:catAx>
      <c:valAx>
        <c:axId val="182562176"/>
        <c:scaling>
          <c:orientation val="minMax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100" b="1" i="0" baseline="0">
                    <a:effectLst/>
                  </a:rPr>
                  <a:t>% who disagree or are not sure that neighborhood is safe</a:t>
                </a:r>
                <a:endParaRPr lang="en-US" sz="600">
                  <a:effectLst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6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 sz="600"/>
              </a:p>
            </c:rich>
          </c:tx>
          <c:layout/>
          <c:overlay val="0"/>
        </c:title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en-US"/>
          </a:p>
        </c:txPr>
        <c:crossAx val="18255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CPHDEpi">
  <a:themeElements>
    <a:clrScheme name="MCPHDEpi">
      <a:dk1>
        <a:sysClr val="windowText" lastClr="000000"/>
      </a:dk1>
      <a:lt1>
        <a:sysClr val="window" lastClr="FFFFFF"/>
      </a:lt1>
      <a:dk2>
        <a:srgbClr val="D2533C"/>
      </a:dk2>
      <a:lt2>
        <a:srgbClr val="F3F2DC"/>
      </a:lt2>
      <a:accent1>
        <a:srgbClr val="512603"/>
      </a:accent1>
      <a:accent2>
        <a:srgbClr val="B15407"/>
      </a:accent2>
      <a:accent3>
        <a:srgbClr val="F3740B"/>
      </a:accent3>
      <a:accent4>
        <a:srgbClr val="F8B47C"/>
      </a:accent4>
      <a:accent5>
        <a:srgbClr val="FCDDC4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A2F4-D8C5-42C7-A1D8-C239B9D1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217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Hosptial Corporation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Gibson</dc:creator>
  <cp:lastModifiedBy>James Groh</cp:lastModifiedBy>
  <cp:revision>4</cp:revision>
  <cp:lastPrinted>2018-10-25T19:41:00Z</cp:lastPrinted>
  <dcterms:created xsi:type="dcterms:W3CDTF">2018-11-18T20:53:00Z</dcterms:created>
  <dcterms:modified xsi:type="dcterms:W3CDTF">2019-04-22T16:51:00Z</dcterms:modified>
</cp:coreProperties>
</file>